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12" w:lineRule="auto"/>
        <w:jc w:val="center"/>
        <w:rPr>
          <w:rFonts w:ascii="Constantia" w:cs="Constantia" w:eastAsia="Constantia" w:hAnsi="Constant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44" w:line="264" w:lineRule="auto"/>
        <w:jc w:val="center"/>
        <w:rPr>
          <w:rFonts w:ascii="Constantia" w:cs="Constantia" w:eastAsia="Constantia" w:hAnsi="Constantia"/>
          <w:b w:val="1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b w:val="1"/>
          <w:sz w:val="28"/>
          <w:szCs w:val="28"/>
          <w:rtl w:val="0"/>
        </w:rPr>
        <w:t xml:space="preserve">PROYECTOS DE INVESTIGACIÓN</w:t>
      </w:r>
    </w:p>
    <w:p w:rsidR="00000000" w:rsidDel="00000000" w:rsidP="00000000" w:rsidRDefault="00000000" w:rsidRPr="00000000" w14:paraId="00000003">
      <w:pPr>
        <w:spacing w:after="144" w:line="264" w:lineRule="auto"/>
        <w:jc w:val="center"/>
        <w:rPr>
          <w:rFonts w:ascii="Constantia" w:cs="Constantia" w:eastAsia="Constantia" w:hAnsi="Constantia"/>
          <w:b w:val="1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b w:val="1"/>
          <w:sz w:val="24"/>
          <w:szCs w:val="24"/>
          <w:rtl w:val="0"/>
        </w:rPr>
        <w:t xml:space="preserve">Maestrantes Generación 2023 </w:t>
      </w:r>
    </w:p>
    <w:p w:rsidR="00000000" w:rsidDel="00000000" w:rsidP="00000000" w:rsidRDefault="00000000" w:rsidRPr="00000000" w14:paraId="00000004">
      <w:pPr>
        <w:spacing w:after="144" w:line="264" w:lineRule="auto"/>
        <w:jc w:val="center"/>
        <w:rPr>
          <w:rFonts w:ascii="Constantia" w:cs="Constantia" w:eastAsia="Constantia" w:hAnsi="Constantia"/>
          <w:b w:val="1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b w:val="1"/>
          <w:sz w:val="24"/>
          <w:szCs w:val="24"/>
          <w:rtl w:val="0"/>
        </w:rPr>
        <w:t xml:space="preserve">Primera Generación</w:t>
      </w:r>
    </w:p>
    <w:p w:rsidR="00000000" w:rsidDel="00000000" w:rsidP="00000000" w:rsidRDefault="00000000" w:rsidRPr="00000000" w14:paraId="00000005">
      <w:pPr>
        <w:spacing w:after="0" w:line="312" w:lineRule="auto"/>
        <w:jc w:val="center"/>
        <w:rPr>
          <w:rFonts w:ascii="Constantia" w:cs="Constantia" w:eastAsia="Constantia" w:hAnsi="Constant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611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A0"/>
      </w:tblPr>
      <w:tblGrid>
        <w:gridCol w:w="2547"/>
        <w:gridCol w:w="3969"/>
        <w:gridCol w:w="2977"/>
        <w:gridCol w:w="3118"/>
        <w:tblGridChange w:id="0">
          <w:tblGrid>
            <w:gridCol w:w="2547"/>
            <w:gridCol w:w="3969"/>
            <w:gridCol w:w="2977"/>
            <w:gridCol w:w="31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88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Nombre del alumno/a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88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Título Proyecto de Investigación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88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Tutor/a principal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88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Lectores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Víctor Manuel Ávila Pacheco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Gubernamentalidad y alimentación: la práctica de gobierno en el programa Desayunos Escolares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Dr. Yassir Rodríguez Martínez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Dr. Miguel Lisbona Guillén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Ana Sheila Camarena López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Políticas ambientales para el saneamiento de los cenotes en Yucatán: un análisis comparativo desde el paradigma de la gobernanza del agua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Dra. María Elena Giraldo Palacio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Manuel Perló Cohen</w:t>
            </w:r>
          </w:p>
          <w:p w:rsidR="00000000" w:rsidDel="00000000" w:rsidP="00000000" w:rsidRDefault="00000000" w:rsidRPr="00000000" w14:paraId="00000012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Gabriela de la Mora de la Mora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Ariana del Socorro Couoh Osorio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Diseño de un Sistema de Alerta Temprana de Abandono Escolar en Educación Media Superior en Yucatán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Dr. Roberto Rodríguez Gómez-Guerra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Dra. Lorenza Villa Lever</w:t>
            </w:r>
          </w:p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Dr. Santiago Andrés Rodríguez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Yasmín Marisol Sosa Loeza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De profesoras a Presidentas municipales: la carrera política de las mujeres en Yucatán.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Dra. Cristina Puga Espinosa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Dra. Eliana Arancibia Gutiérrez  </w:t>
            </w:r>
          </w:p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Mtra. Aurora Guadalupe Loyo Brambila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Sebastián Torres Perdigón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La gobernabilidad en las políticas de seguridad hídrica en el norte de Quintana Roo 2018-2022. Hacia una gobernanza de los sistemas kársticos.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Dra. Ayesa Martínez Serrano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Dr. Miguel Ángel Pinkus Rendón </w:t>
            </w:r>
          </w:p>
          <w:p w:rsidR="00000000" w:rsidDel="00000000" w:rsidP="00000000" w:rsidRDefault="00000000" w:rsidRPr="00000000" w14:paraId="00000021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Dra. Gabriela de la Mora de la Mora</w:t>
            </w:r>
          </w:p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Luis Alberto Vásquez Pérez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sz w:val="20"/>
                <w:szCs w:val="20"/>
                <w:rtl w:val="0"/>
              </w:rPr>
              <w:t xml:space="preserve">Tasa de Suicidio e Indicadores de Pobreza en México 2012-2023: Apuntes para una Propuesta.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Dr. Rodrigo Alejandro Llanes Salazar (principal)</w:t>
            </w:r>
          </w:p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Dr. Ricardo Lino Mansilla Corona (co-tutor)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88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Dra. Maritza Caicedo Riascos</w:t>
            </w:r>
          </w:p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Dr. Víctor Alejandro Payá Porres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Gerardo Martin Chacon Tuyub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Arial Narrow" w:cs="Arial Narrow" w:eastAsia="Arial Narrow" w:hAnsi="Arial Narrow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sz w:val="20"/>
                <w:szCs w:val="20"/>
                <w:rtl w:val="0"/>
              </w:rPr>
              <w:t xml:space="preserve">El Referéndum y el Plebiscito como Mecanismos de Democracia Directa. Un análisis de los impedimentos para su implementación en Yucatán.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Dra. Cristina Puga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88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Genny Mariana Gorocica Barrera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88" w:lineRule="auto"/>
              <w:rPr>
                <w:rFonts w:ascii="Arial Narrow" w:cs="Arial Narrow" w:eastAsia="Arial Narrow" w:hAnsi="Arial Narrow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sz w:val="20"/>
                <w:szCs w:val="20"/>
                <w:rtl w:val="0"/>
              </w:rPr>
              <w:t xml:space="preserve">Derecho a la movilidad y gestión del transporte público en Mérida y municipios conurbados de Kanasín y Umán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Dr. Ricardo López Santillán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88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sz w:val="20"/>
                <w:szCs w:val="20"/>
                <w:rtl w:val="0"/>
              </w:rPr>
              <w:t xml:space="preserve">Elias Zapata Godoy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88" w:lineRule="auto"/>
              <w:rPr>
                <w:rFonts w:ascii="Arial Narrow" w:cs="Arial Narrow" w:eastAsia="Arial Narrow" w:hAnsi="Arial Narrow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sz w:val="20"/>
                <w:szCs w:val="20"/>
                <w:rtl w:val="0"/>
              </w:rPr>
              <w:t xml:space="preserve">Presupuesto participativo en Mérida, Yucatán. Experiencias de implementación del programa "Diseña tu ciudad".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88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sz w:val="20"/>
                <w:szCs w:val="20"/>
                <w:rtl w:val="0"/>
              </w:rPr>
              <w:t xml:space="preserve">Dra. Carmen Pedroza Gutierrez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88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88" w:lineRule="auto"/>
              <w:rPr>
                <w:rFonts w:ascii="Arial Narrow" w:cs="Arial Narrow" w:eastAsia="Arial Narrow" w:hAnsi="Arial Narrow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sz w:val="20"/>
                <w:szCs w:val="20"/>
                <w:highlight w:val="white"/>
                <w:rtl w:val="0"/>
              </w:rPr>
              <w:t xml:space="preserve">María Toledo García Mayoral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88" w:lineRule="auto"/>
              <w:rPr>
                <w:rFonts w:ascii="Arial Narrow" w:cs="Arial Narrow" w:eastAsia="Arial Narrow" w:hAnsi="Arial Narrow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sz w:val="20"/>
                <w:szCs w:val="20"/>
                <w:highlight w:val="white"/>
                <w:rtl w:val="0"/>
              </w:rPr>
              <w:t xml:space="preserve">Vacíos que invisibilizan: reproducción no controlada de perros en situación de calle, como problema público, en el Estado de México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88" w:lineRule="auto"/>
              <w:rPr>
                <w:rFonts w:ascii="Arial Narrow" w:cs="Arial Narrow" w:eastAsia="Arial Narrow" w:hAnsi="Arial Narrow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sz w:val="20"/>
                <w:szCs w:val="20"/>
                <w:highlight w:val="white"/>
                <w:rtl w:val="0"/>
              </w:rPr>
              <w:t xml:space="preserve">Dra. Eliana A. Arancibia Gutiérrez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88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312" w:lineRule="auto"/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701" w:top="1701" w:left="1418" w:right="212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2355006</wp:posOffset>
          </wp:positionH>
          <wp:positionV relativeFrom="page">
            <wp:posOffset>455519</wp:posOffset>
          </wp:positionV>
          <wp:extent cx="615950" cy="678945"/>
          <wp:effectExtent b="0" l="0" r="0" t="0"/>
          <wp:wrapNone/>
          <wp:docPr id="14" name="image1.gif"/>
          <a:graphic>
            <a:graphicData uri="http://schemas.openxmlformats.org/drawingml/2006/picture">
              <pic:pic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5950" cy="6789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color w:val="000000"/>
      </w:rPr>
      <w:drawing>
        <wp:inline distB="0" distT="0" distL="0" distR="0">
          <wp:extent cx="1383430" cy="705961"/>
          <wp:effectExtent b="0" l="0" r="0" t="0"/>
          <wp:docPr descr="Texto&#10;&#10;Descripción generada automáticamente con confianza media" id="15" name="image3.png"/>
          <a:graphic>
            <a:graphicData uri="http://schemas.openxmlformats.org/drawingml/2006/picture">
              <pic:pic>
                <pic:nvPicPr>
                  <pic:cNvPr descr="Texto&#10;&#10;Descripción generada automáticamente con confianza media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3430" cy="7059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6779807</wp:posOffset>
          </wp:positionH>
          <wp:positionV relativeFrom="paragraph">
            <wp:posOffset>-14157</wp:posOffset>
          </wp:positionV>
          <wp:extent cx="1247140" cy="689610"/>
          <wp:effectExtent b="0" l="0" r="0" t="0"/>
          <wp:wrapSquare wrapText="bothSides" distB="0" distT="0" distL="114300" distR="11430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7140" cy="6896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31BF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F6122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6122E"/>
  </w:style>
  <w:style w:type="paragraph" w:styleId="Piedepgina">
    <w:name w:val="footer"/>
    <w:basedOn w:val="Normal"/>
    <w:link w:val="PiedepginaCar"/>
    <w:uiPriority w:val="99"/>
    <w:unhideWhenUsed w:val="1"/>
    <w:rsid w:val="00F6122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6122E"/>
  </w:style>
  <w:style w:type="paragraph" w:styleId="NormalWeb">
    <w:name w:val="Normal (Web)"/>
    <w:basedOn w:val="Normal"/>
    <w:uiPriority w:val="99"/>
    <w:semiHidden w:val="1"/>
    <w:unhideWhenUsed w:val="1"/>
    <w:rsid w:val="00EC261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 w:val="1"/>
    <w:rsid w:val="00EC261F"/>
    <w:rPr>
      <w:b w:val="1"/>
      <w:bCs w:val="1"/>
    </w:rPr>
  </w:style>
  <w:style w:type="character" w:styleId="nfasis">
    <w:name w:val="Emphasis"/>
    <w:basedOn w:val="Fuentedeprrafopredeter"/>
    <w:uiPriority w:val="20"/>
    <w:qFormat w:val="1"/>
    <w:rsid w:val="00EC261F"/>
    <w:rPr>
      <w:i w:val="1"/>
      <w:iCs w:val="1"/>
    </w:rPr>
  </w:style>
  <w:style w:type="paragraph" w:styleId="Normal1" w:customStyle="1">
    <w:name w:val="Normal1"/>
    <w:rsid w:val="0074581C"/>
    <w:pPr>
      <w:spacing w:after="0" w:line="240" w:lineRule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167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16773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qFormat w:val="1"/>
    <w:rsid w:val="000D6F66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5B26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6935CB"/>
    <w:pPr>
      <w:spacing w:after="0" w:line="240" w:lineRule="auto"/>
      <w:jc w:val="both"/>
    </w:pPr>
    <w:rPr>
      <w:rFonts w:ascii="Arial" w:cs="Times New Roman" w:hAnsi="Arial"/>
      <w:sz w:val="20"/>
      <w:lang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F17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F170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F17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F1700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F1700"/>
    <w:rPr>
      <w:b w:val="1"/>
      <w:bCs w:val="1"/>
      <w:sz w:val="20"/>
      <w:szCs w:val="20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1473E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473ED"/>
    <w:rPr>
      <w:color w:val="605e5c"/>
      <w:shd w:color="auto" w:fill="e1dfdd" w:val="clear"/>
    </w:rPr>
  </w:style>
  <w:style w:type="table" w:styleId="Tablaconcuadrcula4-nfasis1">
    <w:name w:val="Grid Table 4 Accent 1"/>
    <w:basedOn w:val="Tablanormal"/>
    <w:uiPriority w:val="49"/>
    <w:rsid w:val="00741B4A"/>
    <w:pPr>
      <w:spacing w:after="0" w:line="240" w:lineRule="auto"/>
    </w:p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eksdXoape7erXpZB+hvfE39VZw==">CgMxLjA4AHIhMS1sNnBCaE93dkx6cGE2aTVuY2R0TUk5MkltVFJCQmJJ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2023-03-13T16:56:00Z</dcterms:created>
  <dc:creator>HP Inc.</dc:creator>
</cp:coreProperties>
</file>